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30"/>
          <w:szCs w:val="30"/>
        </w:rPr>
        <w:t xml:space="preserve">Form B · Licence to Publish and Open Access Agreement</w:t>
      </w:r>
    </w:p>
    <w:p>
      <w:pPr>
        <w:spacing w:after="160" w:before="0"/>
      </w:pPr>
      <w:r>
        <w:rPr>
          <w:rFonts w:ascii="Arial" w:cs="Arial" w:eastAsia="Arial" w:hAnsi="Arial"/>
          <w:color w:val="666666"/>
          <w:sz w:val="18"/>
          <w:szCs w:val="18"/>
        </w:rPr>
        <w:t xml:space="preserve">Version 1.0 · September 2026. To be completed on acceptance and signed by the corresponding author on behalf of all authors. Return to office@therapeutics.ro.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Manuscript title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Manuscript number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All authors (in order)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Corresponding author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1. Parties</w:t>
      </w:r>
    </w:p>
    <w:p>
      <w:pPr>
        <w:spacing w:after="100" w:before="0"/>
      </w:pPr>
      <w:r>
        <w:rPr>
          <w:rFonts w:ascii="Arial" w:cs="Arial" w:eastAsia="Arial" w:hAnsi="Arial"/>
          <w:sz w:val="20"/>
          <w:szCs w:val="20"/>
        </w:rPr>
        <w:t xml:space="preserve">This agreement is between the authors of the article named above (“the Authors”, who retain the copyright in the article) and Editura R.P. SRL, 28 Amidonului Street, 023808 Bucharest, Romania (“the Publisher”), publishing Therapeutics, Pharmacology and Clinical Toxicology (“the Journal”) on behalf of the Romanian Society of Pharmacology.</w:t>
      </w:r>
    </w:p>
    <w:p>
      <w:pPr>
        <w:spacing w:after="100" w:before="220"/>
      </w:pPr>
      <w:r>
        <w:rPr>
          <w:rFonts w:ascii="Arial" w:cs="Arial" w:eastAsia="Arial" w:hAnsi="Arial"/>
          <w:b/>
          <w:bCs/>
          <w:color w:val="1F2A44"/>
          <w:sz w:val="22"/>
          <w:szCs w:val="22"/>
        </w:rPr>
        <w:t xml:space="preserve">2. Copyright and licence</w:t>
      </w:r>
    </w:p>
    <w:p>
      <w:pPr>
        <w:spacing w:after="100" w:before="0"/>
      </w:pPr>
      <w:r>
        <w:rPr>
          <w:rFonts w:ascii="Arial" w:cs="Arial" w:eastAsia="Arial" w:hAnsi="Arial"/>
          <w:sz w:val="20"/>
          <w:szCs w:val="20"/>
        </w:rPr>
        <w:t xml:space="preserve">The Authors retain copyright in the article without restriction. The Authors grant the Publisher a non-exclusive, irrevocable, worldwide licence to publish the article in the Journal in print and electronic form, to reproduce, distribute, display and store it, to translate the title, abstract and keywords, to deposit it and its metadata with indexing, abstracting, preservation and archiving services, to register a Digital Object Identifier for it, and to identify the Journal as the original place of publication.</w:t>
      </w:r>
    </w:p>
    <w:p>
      <w:pPr>
        <w:spacing w:after="100" w:before="0"/>
      </w:pPr>
      <w:r>
        <w:rPr>
          <w:rFonts w:ascii="Arial" w:cs="Arial" w:eastAsia="Arial" w:hAnsi="Arial"/>
          <w:sz w:val="20"/>
          <w:szCs w:val="20"/>
        </w:rPr>
        <w:t xml:space="preserve">The article will be published under the Creative Commons Attribution 4.0 International licence (CC BY 4.0). Users may share and adapt the article for any purpose, including commercially, provided that appropriate credit is given to the Authors and the Journal, a link to the licence is provided and any changes are indicated. Third-party material reproduced in the article is excluded from this licence and is identified in its credit line. Full licence text: https://creativecommons.org/licenses/by/4.0/</w:t>
      </w:r>
    </w:p>
    <w:p>
      <w:pPr>
        <w:spacing w:after="100" w:before="220"/>
      </w:pPr>
      <w:r>
        <w:rPr>
          <w:rFonts w:ascii="Arial" w:cs="Arial" w:eastAsia="Arial" w:hAnsi="Arial"/>
          <w:b/>
          <w:bCs/>
          <w:color w:val="1F2A44"/>
          <w:sz w:val="22"/>
          <w:szCs w:val="22"/>
        </w:rPr>
        <w:t xml:space="preserve">3. Authors' rights</w:t>
      </w:r>
    </w:p>
    <w:p>
      <w:pPr>
        <w:spacing w:after="100" w:before="0"/>
      </w:pPr>
      <w:r>
        <w:rPr>
          <w:rFonts w:ascii="Arial" w:cs="Arial" w:eastAsia="Arial" w:hAnsi="Arial"/>
          <w:sz w:val="20"/>
          <w:szCs w:val="20"/>
        </w:rPr>
        <w:t xml:space="preserve">The Authors may reuse their article in teaching, in theses and dissertations, in books and in further publications, may post any version of it in repositories, on preprint servers and on personal or institutional websites without embargo, and may make and distribute copies, in each case with a citation of the original publication and a link to its DOI.</w:t>
      </w:r>
    </w:p>
    <w:p>
      <w:pPr>
        <w:spacing w:after="100" w:before="220"/>
      </w:pPr>
      <w:r>
        <w:rPr>
          <w:rFonts w:ascii="Arial" w:cs="Arial" w:eastAsia="Arial" w:hAnsi="Arial"/>
          <w:b/>
          <w:bCs/>
          <w:color w:val="1F2A44"/>
          <w:sz w:val="22"/>
          <w:szCs w:val="22"/>
        </w:rPr>
        <w:t xml:space="preserve">4. Warranties</w:t>
      </w:r>
    </w:p>
    <w:p>
      <w:pPr>
        <w:spacing w:after="100" w:before="0"/>
      </w:pPr>
      <w:r>
        <w:rPr>
          <w:rFonts w:ascii="Arial" w:cs="Arial" w:eastAsia="Arial" w:hAnsi="Arial"/>
          <w:sz w:val="20"/>
          <w:szCs w:val="20"/>
        </w:rPr>
        <w:t xml:space="preserve">The corresponding author warrants, on behalf of all Authors, that: the article is original, has not been published elsewhere and is not under consideration by another journal; all Authors have approved the final version and this agreement, and the corresponding author has authority to sign on their behalf; the article contains nothing unlawful, defamatory or infringing the rights of others; written permission has been obtained for any third-party material and for any identifiable patient information, and the permissions are available on request; research reported in the article complies with the ethical standards stated in the Journal's policies; all competing interests and sources of funding have been declared.</w:t>
      </w:r>
    </w:p>
    <w:p>
      <w:pPr>
        <w:spacing w:after="100" w:before="220"/>
      </w:pPr>
      <w:r>
        <w:rPr>
          <w:rFonts w:ascii="Arial" w:cs="Arial" w:eastAsia="Arial" w:hAnsi="Arial"/>
          <w:b/>
          <w:bCs/>
          <w:color w:val="1F2A44"/>
          <w:sz w:val="22"/>
          <w:szCs w:val="22"/>
        </w:rPr>
        <w:t xml:space="preserve">5. Publication</w:t>
      </w:r>
    </w:p>
    <w:p>
      <w:pPr>
        <w:spacing w:after="100" w:before="0"/>
      </w:pPr>
      <w:r>
        <w:rPr>
          <w:rFonts w:ascii="Arial" w:cs="Arial" w:eastAsia="Arial" w:hAnsi="Arial"/>
          <w:sz w:val="20"/>
          <w:szCs w:val="20"/>
        </w:rPr>
        <w:t xml:space="preserve">The Publisher will publish the article after peer review and acceptance, will make it freely accessible online without charge, and will not charge the Authors any submission, processing or publication fee. The Publisher may make editorial changes necessary for house style and clarity; the Authors approve the final proof. Corrections, retractions and expressions of concern are governed by the Journal's policies, which follow the guidelines of the Committee on Publication Ethics (COPE).</w:t>
      </w:r>
    </w:p>
    <w:p>
      <w:pPr>
        <w:spacing w:after="100" w:before="220"/>
      </w:pPr>
      <w:r>
        <w:rPr>
          <w:rFonts w:ascii="Arial" w:cs="Arial" w:eastAsia="Arial" w:hAnsi="Arial"/>
          <w:b/>
          <w:bCs/>
          <w:color w:val="1F2A44"/>
          <w:sz w:val="22"/>
          <w:szCs w:val="22"/>
        </w:rPr>
        <w:t xml:space="preserve">6. General</w:t>
      </w:r>
    </w:p>
    <w:p>
      <w:pPr>
        <w:spacing w:after="100" w:before="0"/>
      </w:pPr>
      <w:r>
        <w:rPr>
          <w:rFonts w:ascii="Arial" w:cs="Arial" w:eastAsia="Arial" w:hAnsi="Arial"/>
          <w:sz w:val="20"/>
          <w:szCs w:val="20"/>
        </w:rPr>
        <w:t xml:space="preserve">This agreement is governed by the law of Romania. It takes effect on acceptance of the article for publication; if the article is not accepted, the licence granted here does not take effect.</w:t>
      </w:r>
    </w:p>
    <w:p>
      <w:pPr>
        <w:spacing w:after="100" w:before="220"/>
      </w:pPr>
      <w:r>
        <w:rPr>
          <w:rFonts w:ascii="Arial" w:cs="Arial" w:eastAsia="Arial" w:hAnsi="Arial"/>
          <w:b/>
          <w:bCs/>
          <w:color w:val="1F2A44"/>
          <w:sz w:val="22"/>
          <w:szCs w:val="22"/>
        </w:rPr>
        <w:t xml:space="preserve">7. Third-party material included in the article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2900"/>
        <w:gridCol w:w="2600"/>
        <w:gridCol w:w="1238"/>
      </w:tblGrid>
      <w:tr>
        <w:trPr>
          <w:tblHeader/>
        </w:trP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Item (figure/table/text)</w:t>
            </w:r>
          </w:p>
        </w:tc>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Source (citation)</w:t>
            </w:r>
          </w:p>
        </w:tc>
        <w:tc>
          <w:tcPr>
            <w:tcW w:type="dxa" w:w="26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Permission obtained from</w:t>
            </w:r>
          </w:p>
        </w:tc>
        <w:tc>
          <w:tcPr>
            <w:tcW w:type="dxa" w:w="12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w:t>
            </w:r>
          </w:p>
        </w:tc>
      </w:tr>
      <w:tr>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6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8. Signature</w:t>
      </w:r>
    </w:p>
    <w:p>
      <w:pPr>
        <w:spacing w:after="100" w:before="0"/>
      </w:pPr>
      <w:r>
        <w:rPr>
          <w:rFonts w:ascii="Arial" w:cs="Arial" w:eastAsia="Arial" w:hAnsi="Arial"/>
          <w:sz w:val="20"/>
          <w:szCs w:val="20"/>
        </w:rPr>
        <w:t xml:space="preserve">I sign this agreement on behalf of all Authors listed above.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Name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Affiliation</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Place and date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pBdr>
          <w:bottom w:val="single" w:color="000000" w:sz="6" w:space="1"/>
        </w:pBdr>
        <w:tabs>
          <w:tab w:val="right" w:pos="9638"/>
        </w:tabs>
        <w:spacing w:after="40" w:before="360"/>
      </w:pPr>
      <w:r>
        <w:rPr>
          <w:rFonts w:ascii="Arial" w:cs="Arial" w:eastAsia="Arial" w:hAnsi="Arial"/>
          <w:color w:val="666666"/>
          <w:sz w:val="18"/>
          <w:szCs w:val="18"/>
        </w:rPr>
        <w:t xml:space="preserve">Signature of the corresponding author</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666666"/>
        <w:sz w:val="16"/>
        <w:szCs w:val="16"/>
      </w:rPr>
      <w:t xml:space="preserve">ISSN 1583-0012 · e-ISSN 2066-0170 · office@therapeutics.ro · https://therapeutics.ro</w:t>
    </w:r>
    <w:r>
      <w:rPr>
        <w:rFonts w:ascii="Arial" w:cs="Arial" w:eastAsia="Arial" w:hAnsi="Arial"/>
        <w:color w:val="666666"/>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2A44" w:sz="6" w:space="4"/>
      </w:pBdr>
      <w:tabs>
        <w:tab w:val="right" w:pos="9638"/>
      </w:tabs>
      <w:spacing w:after="120"/>
    </w:pPr>
    <w:r>
      <w:rPr>
        <w:rFonts w:ascii="Arial" w:cs="Arial" w:eastAsia="Arial" w:hAnsi="Arial"/>
        <w:b/>
        <w:bCs/>
        <w:color w:val="1F2A44"/>
        <w:sz w:val="18"/>
        <w:szCs w:val="18"/>
      </w:rPr>
      <w:t xml:space="preserve">THERAPEUTICS, PHARMACOLOGY AND CLINICAL TOXICOLOGY</w:t>
    </w:r>
    <w:r>
      <w:rPr>
        <w:rFonts w:ascii="Arial" w:cs="Arial" w:eastAsia="Arial" w:hAnsi="Arial"/>
        <w:color w:val="666666"/>
        <w:sz w:val="18"/>
        <w:szCs w:val="18"/>
      </w:rPr>
      <w:t xml:space="preserve">	Form B — Licence to Publish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2026-09-25T15:01:38.678Z</dcterms:created>
  <dcterms:modified xsi:type="dcterms:W3CDTF">2026-09-25T15:01:38.678Z</dcterms:modified>
</cp:coreProperties>
</file>

<file path=docProps/custom.xml><?xml version="1.0" encoding="utf-8"?>
<Properties xmlns="http://schemas.openxmlformats.org/officeDocument/2006/custom-properties" xmlns:vt="http://schemas.openxmlformats.org/officeDocument/2006/docPropsVTypes"/>
</file>